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……/201</w:t>
      </w:r>
      <w:r w:rsidR="001C018C">
        <w:rPr>
          <w:rFonts w:ascii="Times New Roman" w:hAnsi="Times New Roman" w:cs="Times New Roman"/>
        </w:rPr>
        <w:t>9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="000D7571">
        <w:rPr>
          <w:rFonts w:ascii="Times New Roman" w:hAnsi="Times New Roman" w:cs="Times New Roman"/>
        </w:rPr>
        <w:t xml:space="preserve"> (42-600 Tarnowskie Góry)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9</w:t>
        </w:r>
        <w:r w:rsidRPr="00FE160A">
          <w:rPr>
            <w:rFonts w:ascii="Times New Roman" w:hAnsi="Times New Roman" w:cs="Times New Roman"/>
            <w:i/>
            <w:sz w:val="20"/>
            <w:szCs w:val="20"/>
          </w:rPr>
          <w:t xml:space="preserve"> r. poz. 18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43</w:t>
        </w:r>
      </w:hyperlink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</w:t>
      </w:r>
      <w:r>
        <w:rPr>
          <w:rFonts w:ascii="Times New Roman" w:hAnsi="Times New Roman" w:cs="Times New Roman"/>
          <w:color w:val="000000" w:themeColor="text1"/>
        </w:rPr>
        <w:t xml:space="preserve">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Umowa zawarta jest na czas określony od dnia …….…. 2019 roku do dnia ……...…2019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dostarczenie przedmiotu umowy do siedziby Zamawiającego – do 15 dni od dnia podpisania niniejszej umowy, tj. do dnia……………… 2019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rozliczenie finansowe zadania (np. sporządzenie aneksu do umowy etc.) – do 30 dni od dnia podpisania niniejszej umowy, tj. do dnia……………… 2019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  <w:bookmarkStart w:id="0" w:name="_Hlk22024497"/>
      <w:r w:rsidR="00542290" w:rsidRPr="00A15C85">
        <w:rPr>
          <w:rFonts w:ascii="Times New Roman" w:hAnsi="Times New Roman" w:cs="Times New Roman"/>
        </w:rPr>
        <w:t>Brak sporządzenia faktury korygującej w wyżej wymienionym terminie skutkuje naliczeniem kary w wysokości 20% wartości przedmiotu zamówienia określonego w § 3 ust 3.</w:t>
      </w:r>
      <w:bookmarkEnd w:id="0"/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7A616E" w:rsidRDefault="007A616E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przedmiotowym postępowaniu</w:t>
      </w:r>
      <w:r w:rsidR="00CD5D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wyłącza możliwość stosowania faktur elektronicznych, ustrukturyzowanych.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w terminie do </w:t>
      </w:r>
      <w:r w:rsidR="00097066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D944E1">
        <w:rPr>
          <w:rFonts w:ascii="Times New Roman" w:hAnsi="Times New Roman" w:cs="Times New Roman"/>
          <w:i/>
          <w:sz w:val="20"/>
          <w:szCs w:val="20"/>
        </w:rPr>
        <w:t>0</w:t>
      </w:r>
      <w:r w:rsidR="00542290">
        <w:rPr>
          <w:rFonts w:ascii="Times New Roman" w:hAnsi="Times New Roman" w:cs="Times New Roman"/>
          <w:i/>
          <w:sz w:val="20"/>
          <w:szCs w:val="20"/>
        </w:rPr>
        <w:t>4</w:t>
      </w:r>
      <w:r w:rsidR="00D944E1">
        <w:rPr>
          <w:rFonts w:ascii="Times New Roman" w:hAnsi="Times New Roman" w:cs="Times New Roman"/>
          <w:i/>
          <w:sz w:val="20"/>
          <w:szCs w:val="20"/>
        </w:rPr>
        <w:t>.1</w:t>
      </w:r>
      <w:r w:rsidR="00542290">
        <w:rPr>
          <w:rFonts w:ascii="Times New Roman" w:hAnsi="Times New Roman" w:cs="Times New Roman"/>
          <w:i/>
          <w:sz w:val="20"/>
          <w:szCs w:val="20"/>
        </w:rPr>
        <w:t>1</w:t>
      </w:r>
      <w:r w:rsidR="00097066">
        <w:rPr>
          <w:rFonts w:ascii="Times New Roman" w:hAnsi="Times New Roman" w:cs="Times New Roman"/>
          <w:i/>
          <w:sz w:val="20"/>
          <w:szCs w:val="20"/>
        </w:rPr>
        <w:t>.</w:t>
      </w:r>
      <w:r w:rsidR="001D0128"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542290">
        <w:rPr>
          <w:rFonts w:ascii="Times New Roman" w:hAnsi="Times New Roman" w:cs="Times New Roman"/>
          <w:i/>
          <w:sz w:val="20"/>
          <w:szCs w:val="20"/>
        </w:rPr>
        <w:t>53</w:t>
      </w:r>
      <w:r w:rsidR="00D944E1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bookmarkStart w:id="1" w:name="_GoBack"/>
      <w:bookmarkEnd w:id="1"/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72" w:rsidRDefault="00AE1572" w:rsidP="00C50A63">
      <w:pPr>
        <w:spacing w:after="0" w:line="240" w:lineRule="auto"/>
      </w:pPr>
      <w:r>
        <w:separator/>
      </w:r>
    </w:p>
  </w:endnote>
  <w:endnote w:type="continuationSeparator" w:id="0">
    <w:p w:rsidR="00AE1572" w:rsidRDefault="00AE1572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AE157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72" w:rsidRDefault="00AE1572" w:rsidP="00C50A63">
      <w:pPr>
        <w:spacing w:after="0" w:line="240" w:lineRule="auto"/>
      </w:pPr>
      <w:r>
        <w:separator/>
      </w:r>
    </w:p>
  </w:footnote>
  <w:footnote w:type="continuationSeparator" w:id="0">
    <w:p w:rsidR="00AE1572" w:rsidRDefault="00AE1572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14C4"/>
    <w:rsid w:val="000342B0"/>
    <w:rsid w:val="000342F4"/>
    <w:rsid w:val="00041586"/>
    <w:rsid w:val="0006551C"/>
    <w:rsid w:val="000710E5"/>
    <w:rsid w:val="000860B4"/>
    <w:rsid w:val="00092ABD"/>
    <w:rsid w:val="00097066"/>
    <w:rsid w:val="000B73F1"/>
    <w:rsid w:val="000C7A93"/>
    <w:rsid w:val="000D7571"/>
    <w:rsid w:val="000F229C"/>
    <w:rsid w:val="0010462C"/>
    <w:rsid w:val="00105B0A"/>
    <w:rsid w:val="00170325"/>
    <w:rsid w:val="00170728"/>
    <w:rsid w:val="001C018C"/>
    <w:rsid w:val="001C387A"/>
    <w:rsid w:val="001D0128"/>
    <w:rsid w:val="001D0E96"/>
    <w:rsid w:val="00203AD7"/>
    <w:rsid w:val="00214D66"/>
    <w:rsid w:val="002262C2"/>
    <w:rsid w:val="002263F0"/>
    <w:rsid w:val="00231A90"/>
    <w:rsid w:val="00253230"/>
    <w:rsid w:val="0025367D"/>
    <w:rsid w:val="00255B47"/>
    <w:rsid w:val="002627FF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E4CB5"/>
    <w:rsid w:val="003E7F74"/>
    <w:rsid w:val="003F46DC"/>
    <w:rsid w:val="00415159"/>
    <w:rsid w:val="0041624E"/>
    <w:rsid w:val="00427077"/>
    <w:rsid w:val="00444287"/>
    <w:rsid w:val="004520D8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203CB"/>
    <w:rsid w:val="00542290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A616E"/>
    <w:rsid w:val="007B477F"/>
    <w:rsid w:val="007E2F09"/>
    <w:rsid w:val="00800B8A"/>
    <w:rsid w:val="00811DA6"/>
    <w:rsid w:val="008123AA"/>
    <w:rsid w:val="00827884"/>
    <w:rsid w:val="008477E8"/>
    <w:rsid w:val="0086062F"/>
    <w:rsid w:val="00875B4C"/>
    <w:rsid w:val="00882433"/>
    <w:rsid w:val="00883683"/>
    <w:rsid w:val="008B4552"/>
    <w:rsid w:val="008C5952"/>
    <w:rsid w:val="00914CF6"/>
    <w:rsid w:val="00922CBD"/>
    <w:rsid w:val="00926A53"/>
    <w:rsid w:val="0094046C"/>
    <w:rsid w:val="0098003A"/>
    <w:rsid w:val="00996288"/>
    <w:rsid w:val="009A0D8C"/>
    <w:rsid w:val="009A6E5E"/>
    <w:rsid w:val="009B67B5"/>
    <w:rsid w:val="009B7C39"/>
    <w:rsid w:val="00A0333B"/>
    <w:rsid w:val="00A15C85"/>
    <w:rsid w:val="00A1636F"/>
    <w:rsid w:val="00A20CC3"/>
    <w:rsid w:val="00A2386E"/>
    <w:rsid w:val="00A27542"/>
    <w:rsid w:val="00A32CFF"/>
    <w:rsid w:val="00A8773A"/>
    <w:rsid w:val="00AC7C6D"/>
    <w:rsid w:val="00AE1572"/>
    <w:rsid w:val="00AE2A67"/>
    <w:rsid w:val="00AE74A8"/>
    <w:rsid w:val="00B10FA1"/>
    <w:rsid w:val="00B14DED"/>
    <w:rsid w:val="00B3337D"/>
    <w:rsid w:val="00B4258C"/>
    <w:rsid w:val="00B663D8"/>
    <w:rsid w:val="00B7403C"/>
    <w:rsid w:val="00B74654"/>
    <w:rsid w:val="00B74830"/>
    <w:rsid w:val="00B82443"/>
    <w:rsid w:val="00BD12C4"/>
    <w:rsid w:val="00C31752"/>
    <w:rsid w:val="00C33A3A"/>
    <w:rsid w:val="00C37F93"/>
    <w:rsid w:val="00C409FA"/>
    <w:rsid w:val="00C50A63"/>
    <w:rsid w:val="00C532D3"/>
    <w:rsid w:val="00C655D0"/>
    <w:rsid w:val="00CA35B7"/>
    <w:rsid w:val="00CA6EEE"/>
    <w:rsid w:val="00CD10CB"/>
    <w:rsid w:val="00CD5607"/>
    <w:rsid w:val="00CD5DBF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944E1"/>
    <w:rsid w:val="00DA728E"/>
    <w:rsid w:val="00DB4718"/>
    <w:rsid w:val="00DC1880"/>
    <w:rsid w:val="00DD17B9"/>
    <w:rsid w:val="00DD3056"/>
    <w:rsid w:val="00DE34AB"/>
    <w:rsid w:val="00DE68CC"/>
    <w:rsid w:val="00E17791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FCB6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E6B4-1C2D-42E9-BED4-20279E9F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171</cp:revision>
  <cp:lastPrinted>2019-06-24T08:57:00Z</cp:lastPrinted>
  <dcterms:created xsi:type="dcterms:W3CDTF">2017-02-27T08:59:00Z</dcterms:created>
  <dcterms:modified xsi:type="dcterms:W3CDTF">2019-11-04T08:05:00Z</dcterms:modified>
</cp:coreProperties>
</file>